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8B7A79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Запрос предложений в электронной форме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участниками которого могут являться только субъекты малого и среднего предпринимательства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8B7A79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8558DC" w:rsidRDefault="008558DC" w:rsidP="008558DC">
            <w:pPr>
              <w:spacing w:after="0" w:line="240" w:lineRule="auto"/>
              <w:ind w:left="-74" w:firstLine="142"/>
              <w:contextualSpacing/>
              <w:jc w:val="both"/>
              <w:rPr>
                <w:color w:val="000000"/>
                <w:kern w:val="28"/>
              </w:rPr>
            </w:pPr>
            <w:r w:rsidRPr="008558DC">
              <w:rPr>
                <w:rFonts w:ascii="Times New Roman" w:eastAsia="Calibri" w:hAnsi="Times New Roman" w:cs="Times New Roman"/>
                <w:sz w:val="24"/>
                <w:szCs w:val="24"/>
              </w:rPr>
              <w:t>yushevchenko@rscc.ru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8558DC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1-75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8558DC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Юлия Викторовна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8558DC" w:rsidP="00DF4D32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</w:t>
            </w:r>
            <w:r w:rsidR="00DF4D32">
              <w:rPr>
                <w:rFonts w:ascii="Times New Roman" w:eastAsia="Calibri" w:hAnsi="Times New Roman" w:cs="Times New Roman"/>
                <w:sz w:val="24"/>
                <w:szCs w:val="24"/>
              </w:rPr>
              <w:t>ремонту асфальтового покрытия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8B7A79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8558DC" w:rsidP="0003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область, Гусь-Хрустальный р-н, 7 </w:t>
            </w:r>
            <w:r w:rsidR="00DF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на северо-восток от д. </w:t>
            </w:r>
            <w:proofErr w:type="spellStart"/>
            <w:r w:rsidR="00DF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Дудор</w:t>
            </w:r>
            <w:proofErr w:type="spellEnd"/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8558DC" w:rsidRPr="008558DC" w:rsidRDefault="008558DC" w:rsidP="008558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(шестьдесят) календарных дней с даты заключения Договора.</w:t>
            </w:r>
          </w:p>
          <w:p w:rsidR="00A76B51" w:rsidRPr="00A76B51" w:rsidRDefault="00A76B51" w:rsidP="008B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участниками которого могут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DF4D32" w:rsidRDefault="00DF4D32" w:rsidP="00DF4D32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9 980 985,77</w:t>
            </w:r>
            <w:r w:rsidRPr="007D5962">
              <w:rPr>
                <w:bCs/>
                <w:szCs w:val="24"/>
              </w:rPr>
              <w:t xml:space="preserve"> (</w:t>
            </w:r>
            <w:r>
              <w:rPr>
                <w:bCs/>
                <w:szCs w:val="24"/>
              </w:rPr>
              <w:t xml:space="preserve">Девять миллионов девятьсот восемьдесят тысяч девятьсот восемьдесят пять и 77/100) рублей. </w:t>
            </w:r>
          </w:p>
          <w:p w:rsidR="00AF3320" w:rsidRPr="00AF3320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076CC5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 w:rsidR="001D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проектно-сметным методом.</w:t>
            </w:r>
            <w:bookmarkStart w:id="0" w:name="_GoBack"/>
            <w:bookmarkEnd w:id="0"/>
          </w:p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9C2C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1809C3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  <w:shd w:val="clear" w:color="auto" w:fill="auto"/>
          </w:tcPr>
          <w:p w:rsidR="009C2C53" w:rsidRPr="00A76B51" w:rsidRDefault="003834B0" w:rsidP="00DF4D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>«2</w:t>
            </w:r>
            <w:r w:rsidR="00DF4D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C2C53"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r w:rsidR="009C2C53"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A76B51" w:rsidRDefault="003834B0" w:rsidP="00855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314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9C2C53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осковское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3834B0" w:rsidP="00DF4D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</w:t>
            </w:r>
            <w:r w:rsidR="00DF4D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3834B0" w:rsidP="008558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A76B51" w:rsidRDefault="008B7A79" w:rsidP="008558DC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«07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  <w:r w:rsidR="003834B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9C2C53" w:rsidRPr="00A76B51" w:rsidRDefault="003834B0" w:rsidP="008558D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9C2C53" w:rsidRPr="00A76B51" w:rsidRDefault="00B0564D" w:rsidP="008558D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2C53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9C2C53" w:rsidRPr="00A76B51" w:rsidRDefault="003834B0" w:rsidP="008558D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9C2C53" w:rsidP="008558D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3834B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558DC">
              <w:rPr>
                <w:rFonts w:ascii="Times New Roman" w:eastAsia="Calibri" w:hAnsi="Times New Roman" w:cs="Times New Roman"/>
                <w:sz w:val="24"/>
                <w:szCs w:val="24"/>
              </w:rPr>
              <w:t>25» сентября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30F99"/>
    <w:rsid w:val="00052BD5"/>
    <w:rsid w:val="0006047F"/>
    <w:rsid w:val="000655C8"/>
    <w:rsid w:val="00076CC5"/>
    <w:rsid w:val="001061E8"/>
    <w:rsid w:val="001128A6"/>
    <w:rsid w:val="00123471"/>
    <w:rsid w:val="0012694B"/>
    <w:rsid w:val="00154E65"/>
    <w:rsid w:val="001809C3"/>
    <w:rsid w:val="001A0621"/>
    <w:rsid w:val="001C71A4"/>
    <w:rsid w:val="001D558E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43BA"/>
    <w:rsid w:val="003172BE"/>
    <w:rsid w:val="003834B0"/>
    <w:rsid w:val="00434B70"/>
    <w:rsid w:val="00456D6E"/>
    <w:rsid w:val="00465BB0"/>
    <w:rsid w:val="0047269E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E4B"/>
    <w:rsid w:val="008558DC"/>
    <w:rsid w:val="008846E1"/>
    <w:rsid w:val="008B7A79"/>
    <w:rsid w:val="008F053A"/>
    <w:rsid w:val="008F2748"/>
    <w:rsid w:val="008F7C1A"/>
    <w:rsid w:val="009404E4"/>
    <w:rsid w:val="00957CB5"/>
    <w:rsid w:val="00960BE1"/>
    <w:rsid w:val="00973FF6"/>
    <w:rsid w:val="00991A06"/>
    <w:rsid w:val="009C2C53"/>
    <w:rsid w:val="009E79BA"/>
    <w:rsid w:val="00A175EB"/>
    <w:rsid w:val="00A64096"/>
    <w:rsid w:val="00A76B51"/>
    <w:rsid w:val="00A97CCB"/>
    <w:rsid w:val="00AC6B04"/>
    <w:rsid w:val="00AD075F"/>
    <w:rsid w:val="00AF3320"/>
    <w:rsid w:val="00B0564D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0651B"/>
    <w:rsid w:val="00D14071"/>
    <w:rsid w:val="00D53127"/>
    <w:rsid w:val="00D65E67"/>
    <w:rsid w:val="00DC4EAE"/>
    <w:rsid w:val="00DC5FDD"/>
    <w:rsid w:val="00DD25CA"/>
    <w:rsid w:val="00DE1D3C"/>
    <w:rsid w:val="00DF4D32"/>
    <w:rsid w:val="00E24991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B795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uiPriority w:val="99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F4D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Шевченко Юлия Викторовна</cp:lastModifiedBy>
  <cp:revision>11</cp:revision>
  <cp:lastPrinted>2023-03-15T06:53:00Z</cp:lastPrinted>
  <dcterms:created xsi:type="dcterms:W3CDTF">2023-06-22T09:46:00Z</dcterms:created>
  <dcterms:modified xsi:type="dcterms:W3CDTF">2023-08-28T11:38:00Z</dcterms:modified>
</cp:coreProperties>
</file>