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F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B3167B" w:rsidP="001F570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Запрос предложений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B3167B" w:rsidRPr="00A76B51" w:rsidRDefault="00B3167B" w:rsidP="00B3167B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3А, стр.1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B3167B" w:rsidRPr="008558DC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color w:val="000000"/>
                <w:kern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Pr="008558DC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B3167B" w:rsidRPr="00DC4EAE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B3167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B3167B" w:rsidRPr="00A76B51" w:rsidRDefault="00B3167B" w:rsidP="00B3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B3167B" w:rsidRPr="00DC4EAE" w:rsidRDefault="00B3167B" w:rsidP="00B3167B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B3167B" w:rsidP="00B3167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организации выхода в правом крыле технического здания 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F570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F570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3167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Гусь-Хрустальный р-н, 7 км на северо-восток от д. </w:t>
            </w:r>
            <w:proofErr w:type="spellStart"/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Дудор</w:t>
            </w:r>
            <w:proofErr w:type="spellEnd"/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B3167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B3167B" w:rsidRPr="00B3167B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90 (девяносто) календарных дней с даты заключения Договора.</w:t>
            </w:r>
          </w:p>
          <w:p w:rsidR="00A76B51" w:rsidRPr="00A76B51" w:rsidRDefault="00B3167B" w:rsidP="00B3167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7B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 имеет право на досрочное выполнение работ при условии письменного согласия Заказчика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E7D86" w:rsidRPr="001F570B" w:rsidRDefault="00637601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780 230</w:t>
            </w:r>
            <w:r w:rsidR="001F570B" w:rsidRPr="001F570B">
              <w:rPr>
                <w:bCs/>
                <w:szCs w:val="24"/>
              </w:rPr>
              <w:t>,00 (</w:t>
            </w:r>
            <w:r>
              <w:rPr>
                <w:bCs/>
                <w:szCs w:val="24"/>
              </w:rPr>
              <w:t>Семьсот восемьдесят тысяч двести тридцать</w:t>
            </w:r>
            <w:r w:rsidR="001F570B" w:rsidRPr="001F570B">
              <w:rPr>
                <w:bCs/>
                <w:szCs w:val="24"/>
              </w:rPr>
              <w:t xml:space="preserve"> и 00/100) рублей</w:t>
            </w:r>
            <w:r w:rsidR="001E7D86" w:rsidRPr="001F570B">
              <w:rPr>
                <w:bCs/>
                <w:szCs w:val="24"/>
              </w:rPr>
              <w:t>.</w:t>
            </w:r>
          </w:p>
          <w:p w:rsidR="00AF3320" w:rsidRPr="001F570B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</w:t>
            </w:r>
            <w:bookmarkStart w:id="0" w:name="_GoBack"/>
            <w:bookmarkEnd w:id="0"/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B3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проектно-сметным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F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1F570B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3143BA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«2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3834B0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1F570B" w:rsidRDefault="00B3167B" w:rsidP="001F570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«05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B0564D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587C57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9C2C53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C2C53">
              <w:t xml:space="preserve"> 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9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7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1F570B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87C57"/>
    <w:rsid w:val="00595AD0"/>
    <w:rsid w:val="005D4E7A"/>
    <w:rsid w:val="005E53DD"/>
    <w:rsid w:val="00604D1E"/>
    <w:rsid w:val="00624C06"/>
    <w:rsid w:val="00636B38"/>
    <w:rsid w:val="00637601"/>
    <w:rsid w:val="00654737"/>
    <w:rsid w:val="006D7DDA"/>
    <w:rsid w:val="007354E0"/>
    <w:rsid w:val="00780FF0"/>
    <w:rsid w:val="007911A2"/>
    <w:rsid w:val="007C0EAD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3167B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44F94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98A4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3</cp:revision>
  <cp:lastPrinted>2023-09-22T13:01:00Z</cp:lastPrinted>
  <dcterms:created xsi:type="dcterms:W3CDTF">2023-09-25T11:35:00Z</dcterms:created>
  <dcterms:modified xsi:type="dcterms:W3CDTF">2023-09-25T13:20:00Z</dcterms:modified>
</cp:coreProperties>
</file>