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1E7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КОТИРОВОК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E7D86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8B7A79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477011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11">
              <w:rPr>
                <w:rFonts w:ascii="Times New Roman" w:eastAsia="Calibri" w:hAnsi="Times New Roman" w:cs="Times New Roman"/>
                <w:sz w:val="24"/>
                <w:szCs w:val="24"/>
              </w:rPr>
              <w:t>yushevchenko@rscc.ru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1E7D86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1-75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1E7D86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Юлия Викторовна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E04DA6" w:rsidP="003834B0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специальной одежды и обуви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1E7D86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1E7D8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777CA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" w:hanging="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64096" w:rsidRDefault="00E04DA6" w:rsidP="00030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г. Железногорск, ул. Красноярская, д.4А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777CA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1E7D86" w:rsidP="001E7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 Договора</w:t>
            </w:r>
            <w:r w:rsidR="00410963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777CA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1E7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Начальная (максимальная)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договора</w:t>
            </w:r>
          </w:p>
        </w:tc>
        <w:tc>
          <w:tcPr>
            <w:tcW w:w="6014" w:type="dxa"/>
          </w:tcPr>
          <w:p w:rsidR="00D777CA" w:rsidRPr="00D777CA" w:rsidRDefault="00E04DA6" w:rsidP="00D777CA">
            <w:pPr>
              <w:pStyle w:val="3"/>
              <w:numPr>
                <w:ilvl w:val="0"/>
                <w:numId w:val="0"/>
              </w:numPr>
              <w:spacing w:after="60"/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1 380 225,52</w:t>
            </w:r>
            <w:r w:rsidRPr="00640811"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</w:rPr>
              <w:t xml:space="preserve">Один миллион триста восемьдесят тысяч </w:t>
            </w:r>
            <w:r>
              <w:rPr>
                <w:bCs/>
                <w:szCs w:val="24"/>
              </w:rPr>
              <w:lastRenderedPageBreak/>
              <w:t xml:space="preserve">двести двадцать пять </w:t>
            </w:r>
            <w:r w:rsidRPr="00640811">
              <w:rPr>
                <w:bCs/>
                <w:szCs w:val="24"/>
              </w:rPr>
              <w:t xml:space="preserve">и </w:t>
            </w:r>
            <w:r>
              <w:rPr>
                <w:bCs/>
                <w:szCs w:val="24"/>
              </w:rPr>
              <w:t>52</w:t>
            </w:r>
            <w:r w:rsidRPr="00640811">
              <w:rPr>
                <w:bCs/>
                <w:szCs w:val="24"/>
              </w:rPr>
              <w:t xml:space="preserve">/100) </w:t>
            </w:r>
            <w:r>
              <w:rPr>
                <w:bCs/>
                <w:szCs w:val="24"/>
              </w:rPr>
              <w:t>рублей</w:t>
            </w:r>
            <w:r w:rsidR="00D777CA" w:rsidRPr="00D777CA">
              <w:rPr>
                <w:bCs/>
                <w:szCs w:val="24"/>
              </w:rPr>
              <w:t>.</w:t>
            </w:r>
          </w:p>
          <w:p w:rsidR="00AF3320" w:rsidRPr="00D777CA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Обоснование начальной (максимальной) цены договора (цены лота) указано в п. </w:t>
            </w:r>
            <w:r w:rsidR="00D77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D77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Информационной карты.</w:t>
            </w:r>
          </w:p>
          <w:p w:rsidR="00A76B51" w:rsidRPr="00D777CA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1E7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  <w:r w:rsidR="00076CC5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определена </w:t>
            </w:r>
            <w:r w:rsidR="003834B0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сопоставимых рыночных цен</w:t>
            </w:r>
            <w:r w:rsidR="00F359B3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2C53" w:rsidRPr="00A76B51" w:rsidTr="00A76B51">
        <w:tc>
          <w:tcPr>
            <w:tcW w:w="3496" w:type="dxa"/>
          </w:tcPr>
          <w:p w:rsidR="009C2C53" w:rsidRPr="00A76B51" w:rsidRDefault="009C2C53" w:rsidP="00D777C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 w:rsidR="00D7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котировок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9C2C53" w:rsidRPr="009C2C53" w:rsidRDefault="00EA3F95" w:rsidP="009C2C5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D777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D77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котировок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="001E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котировок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E7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1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котировок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E7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="001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9C2C53" w:rsidRPr="00A76B51" w:rsidTr="001809C3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  <w:shd w:val="clear" w:color="auto" w:fill="auto"/>
          </w:tcPr>
          <w:p w:rsidR="009C2C53" w:rsidRPr="008B5BB6" w:rsidRDefault="001E7D86" w:rsidP="00E04D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«2</w:t>
            </w:r>
            <w:r w:rsidR="00E04DA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9C2C53" w:rsidRPr="008B5BB6" w:rsidRDefault="003834B0" w:rsidP="00E04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E7D86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E04D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3143BA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1E7D86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до 1</w:t>
            </w:r>
            <w:r w:rsidR="001809C3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час. 00 мин. (время м</w:t>
            </w:r>
            <w:r w:rsidR="001809C3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осковское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C2C53" w:rsidRPr="00A76B51" w:rsidTr="0096496A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1E7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</w:p>
        </w:tc>
        <w:tc>
          <w:tcPr>
            <w:tcW w:w="6014" w:type="dxa"/>
            <w:shd w:val="clear" w:color="auto" w:fill="auto"/>
          </w:tcPr>
          <w:p w:rsidR="009C2C53" w:rsidRPr="008B5BB6" w:rsidRDefault="0096496A" w:rsidP="00E04D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«2</w:t>
            </w:r>
            <w:r w:rsidR="00E04DA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9C2C53" w:rsidRPr="00A76B51" w:rsidRDefault="009C2C53" w:rsidP="001E7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</w:p>
        </w:tc>
        <w:tc>
          <w:tcPr>
            <w:tcW w:w="6014" w:type="dxa"/>
          </w:tcPr>
          <w:p w:rsidR="009C2C53" w:rsidRPr="008B5BB6" w:rsidRDefault="003834B0" w:rsidP="00E04D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04DA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года, 11 час. 00 мин. (время м</w:t>
            </w:r>
            <w:r w:rsidR="00327DBC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9C2C53" w:rsidRPr="008B5BB6" w:rsidRDefault="001E7D86" w:rsidP="00E04DA6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«0</w:t>
            </w:r>
            <w:r w:rsidR="00E04DA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834B0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  <w:r w:rsidR="003834B0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2023 года, 11 час. 00 мин. (время м</w:t>
            </w:r>
            <w:r w:rsidR="001809C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96496A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6.8. Дата и время начала рассмотрения заявок</w:t>
            </w:r>
            <w:r w:rsidR="00D777C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9C2C53" w:rsidRPr="0096496A" w:rsidRDefault="003834B0" w:rsidP="00E04DA6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E7D86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04DA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2023 года, 11 час. 00 мин. (время м</w:t>
            </w:r>
            <w:r w:rsidR="001809C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  <w:r w:rsidR="00D7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9C2C53" w:rsidRPr="008B5BB6" w:rsidRDefault="00B0564D" w:rsidP="0096496A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E7D86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1E7D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D777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 w:rsidR="00D77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котировок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30F99"/>
    <w:rsid w:val="00052BD5"/>
    <w:rsid w:val="0006047F"/>
    <w:rsid w:val="000655C8"/>
    <w:rsid w:val="00076CC5"/>
    <w:rsid w:val="001061E8"/>
    <w:rsid w:val="001128A6"/>
    <w:rsid w:val="00123471"/>
    <w:rsid w:val="0012694B"/>
    <w:rsid w:val="00154E65"/>
    <w:rsid w:val="001809C3"/>
    <w:rsid w:val="001A0621"/>
    <w:rsid w:val="001C71A4"/>
    <w:rsid w:val="001E7D86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3143BA"/>
    <w:rsid w:val="003172BE"/>
    <w:rsid w:val="00327DBC"/>
    <w:rsid w:val="003834B0"/>
    <w:rsid w:val="00410963"/>
    <w:rsid w:val="00434B70"/>
    <w:rsid w:val="00456D6E"/>
    <w:rsid w:val="00465BB0"/>
    <w:rsid w:val="0047269E"/>
    <w:rsid w:val="00477011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844E4B"/>
    <w:rsid w:val="008846E1"/>
    <w:rsid w:val="008B5BB6"/>
    <w:rsid w:val="008B7A79"/>
    <w:rsid w:val="008F053A"/>
    <w:rsid w:val="008F2748"/>
    <w:rsid w:val="008F7C1A"/>
    <w:rsid w:val="009404E4"/>
    <w:rsid w:val="00957CB5"/>
    <w:rsid w:val="00960BE1"/>
    <w:rsid w:val="0096496A"/>
    <w:rsid w:val="00973FF6"/>
    <w:rsid w:val="00991A06"/>
    <w:rsid w:val="009C2C53"/>
    <w:rsid w:val="009E79BA"/>
    <w:rsid w:val="00A175EB"/>
    <w:rsid w:val="00A64096"/>
    <w:rsid w:val="00A76B51"/>
    <w:rsid w:val="00A97CCB"/>
    <w:rsid w:val="00AC6B04"/>
    <w:rsid w:val="00AD075F"/>
    <w:rsid w:val="00AF3320"/>
    <w:rsid w:val="00B0564D"/>
    <w:rsid w:val="00B7446E"/>
    <w:rsid w:val="00B7523F"/>
    <w:rsid w:val="00BB10CF"/>
    <w:rsid w:val="00BC1E1B"/>
    <w:rsid w:val="00BE57A5"/>
    <w:rsid w:val="00C23777"/>
    <w:rsid w:val="00C34B19"/>
    <w:rsid w:val="00C652A9"/>
    <w:rsid w:val="00CC0B46"/>
    <w:rsid w:val="00CC3A69"/>
    <w:rsid w:val="00CF4CBD"/>
    <w:rsid w:val="00D0651B"/>
    <w:rsid w:val="00D14071"/>
    <w:rsid w:val="00D53127"/>
    <w:rsid w:val="00D65E67"/>
    <w:rsid w:val="00D777CA"/>
    <w:rsid w:val="00DC4EAE"/>
    <w:rsid w:val="00DC5FDD"/>
    <w:rsid w:val="00DD25CA"/>
    <w:rsid w:val="00DE1D3C"/>
    <w:rsid w:val="00E04DA6"/>
    <w:rsid w:val="00E24991"/>
    <w:rsid w:val="00E6426E"/>
    <w:rsid w:val="00E673EC"/>
    <w:rsid w:val="00EA3F95"/>
    <w:rsid w:val="00EC52C3"/>
    <w:rsid w:val="00EE109E"/>
    <w:rsid w:val="00F359B3"/>
    <w:rsid w:val="00F42505"/>
    <w:rsid w:val="00F621F9"/>
    <w:rsid w:val="00F70F7E"/>
    <w:rsid w:val="00FB43AD"/>
    <w:rsid w:val="00FE1281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7D63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Шевченко Юлия Викторовна</cp:lastModifiedBy>
  <cp:revision>4</cp:revision>
  <cp:lastPrinted>2023-09-28T11:38:00Z</cp:lastPrinted>
  <dcterms:created xsi:type="dcterms:W3CDTF">2023-09-27T10:04:00Z</dcterms:created>
  <dcterms:modified xsi:type="dcterms:W3CDTF">2023-09-29T06:58:00Z</dcterms:modified>
</cp:coreProperties>
</file>