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 w:rsidR="00A37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КОНКУРСА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A37F27" w:rsidP="00FA628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конкурс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 участниками которого могут являться только субъекты малого и среднего предпринимательства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76B51" w:rsidRPr="00A76B51" w:rsidRDefault="00721D53" w:rsidP="00A76B5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D5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торговая площадка АО "Сбербанк – АСТ" по адресу: Российская Федерация, 119435, город Москва,</w:t>
            </w:r>
            <w:r w:rsidR="009A1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1D53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 дом 12, строение 9. http:// www.sberbank-ast.ru.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014" w:type="dxa"/>
          </w:tcPr>
          <w:p w:rsidR="00A76B51" w:rsidRPr="00A76B51" w:rsidRDefault="00921446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115162, г. Москва, ВН.ТЕР.Г. МУНИЦИПАЛЬНЫЙ ОКРУГ ДОНСКОЙ УЛ ШАБОЛОВКА, Д 37, СТР. 6 ЭТАЖ 1 КОМ. 102</w:t>
            </w:r>
          </w:p>
        </w:tc>
      </w:tr>
      <w:tr w:rsidR="00FA6285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FA6285" w:rsidRDefault="00FA6285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FA6285" w:rsidRPr="00A76B51" w:rsidRDefault="00FA6285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109289, г. Москва, </w:t>
            </w:r>
            <w:proofErr w:type="spellStart"/>
            <w:r w:rsidRP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Николоямский</w:t>
            </w:r>
            <w:proofErr w:type="spellEnd"/>
            <w:r w:rsidRP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3А, стр.1.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921446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ekolesnikova@rscc.ru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A76B51" w:rsidRDefault="00A76B51" w:rsidP="00D57F2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+7 (495) 730-03-87 доб. 1</w:t>
            </w:r>
            <w:r w:rsidR="009214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21446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A76B51" w:rsidRDefault="00921446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Элеонора Валерьевна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5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76B51" w:rsidRPr="00A76B51" w:rsidRDefault="00921446" w:rsidP="008906C6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446">
              <w:rPr>
                <w:rFonts w:ascii="Times New Roman" w:eastAsia="Calibri" w:hAnsi="Times New Roman" w:cs="Times New Roman"/>
                <w:sz w:val="24"/>
                <w:szCs w:val="24"/>
              </w:rPr>
              <w:t>Поставка оборудования, ПО для центральной коммутационной станции (HUB VSAT) и выполнение работ по монтажу и пуско-наладке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37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76B51" w:rsidRDefault="00256156" w:rsidP="00B7446E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921446" w:rsidRPr="00921446" w:rsidRDefault="00921446" w:rsidP="00921446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662971, РФ, Красноярский край, г. Железногорск, ул. Красноярская, д. 4А, Центр космической связи (ЦКС) "Железногорск" ГП КС</w:t>
            </w:r>
          </w:p>
          <w:p w:rsidR="00921446" w:rsidRPr="00921446" w:rsidRDefault="00921446" w:rsidP="00921446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446" w:rsidRPr="00921446" w:rsidRDefault="00921446" w:rsidP="00921446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680517, РФ, Хабаровский край, </w:t>
            </w:r>
          </w:p>
          <w:p w:rsidR="00921446" w:rsidRPr="00921446" w:rsidRDefault="00921446" w:rsidP="00921446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р-</w:t>
            </w:r>
            <w:proofErr w:type="gramStart"/>
            <w:r w:rsidRPr="009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 с.</w:t>
            </w:r>
            <w:proofErr w:type="gramEnd"/>
            <w:r w:rsidRPr="009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Сергеевка, 21-й км Сарапульского шоссе, № 7, </w:t>
            </w:r>
          </w:p>
          <w:p w:rsidR="00921446" w:rsidRPr="00921446" w:rsidRDefault="00921446" w:rsidP="00921446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космической связи (ЦКС) "Хабаровск"</w:t>
            </w:r>
          </w:p>
          <w:p w:rsidR="00921446" w:rsidRPr="00921446" w:rsidRDefault="00921446" w:rsidP="00921446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КС</w:t>
            </w:r>
          </w:p>
          <w:p w:rsidR="00921446" w:rsidRPr="00921446" w:rsidRDefault="00921446" w:rsidP="00921446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446" w:rsidRPr="00921446" w:rsidRDefault="00921446" w:rsidP="00921446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141980, РФ, г. Дубна, Московская обл. ул. Александровка, д. 43</w:t>
            </w:r>
          </w:p>
          <w:p w:rsidR="00921446" w:rsidRPr="00921446" w:rsidRDefault="00921446" w:rsidP="00921446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космической связи (ЦКС) "Дубна"</w:t>
            </w:r>
          </w:p>
          <w:p w:rsidR="00A76B51" w:rsidRPr="00D57F20" w:rsidRDefault="00921446" w:rsidP="00921446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КС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921446" w:rsidRPr="00921446" w:rsidRDefault="00921446" w:rsidP="00921446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90 календарных дней, в </w:t>
            </w:r>
            <w:proofErr w:type="spellStart"/>
            <w:proofErr w:type="gramStart"/>
            <w:r w:rsidRPr="009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</w:p>
          <w:p w:rsidR="00921446" w:rsidRPr="00921446" w:rsidRDefault="00921446" w:rsidP="00921446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поставка Товара не более 80 календарных дней с даты заключения Договора;</w:t>
            </w:r>
          </w:p>
          <w:p w:rsidR="00921446" w:rsidRPr="00921446" w:rsidRDefault="00921446" w:rsidP="00921446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 выполнения работ не более 10 календарных дней после получения от Заказчика уведомления о готовности к проведению работ;</w:t>
            </w:r>
          </w:p>
          <w:p w:rsidR="00A76B51" w:rsidRPr="00A76B51" w:rsidRDefault="00921446" w:rsidP="00921446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 поставки ПО не более 80 календарных дней с даты заключения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234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921446" w:rsidRDefault="00921446" w:rsidP="00FA62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990 105,60 (Девятьсот девяносто тысяч сто пять и 60/100) Долларов США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234905" w:rsidP="00FA62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721D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A37F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D57F20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c>
          <w:tcPr>
            <w:tcW w:w="3496" w:type="dxa"/>
          </w:tcPr>
          <w:p w:rsidR="00A76B51" w:rsidRPr="00A76B51" w:rsidRDefault="00D14071" w:rsidP="00A37F27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921446" w:rsidRPr="00921446" w:rsidRDefault="00921446" w:rsidP="0092144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446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Заказчиком установлено требование об обеспечении заявки путем внесения денежных средств или предоставлением банковской гарантии. Размер обеспечения заявки составляет 1 465 356,00 (Один миллион четыреста шестьдесят пять тысяч триста пятьдесят шесть и 00/100) рублей, без НДС.</w:t>
            </w:r>
          </w:p>
          <w:p w:rsidR="008A20B7" w:rsidRPr="00A37F27" w:rsidRDefault="00921446" w:rsidP="0092144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1446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средства вносятся участником такой закупки на специальный счет, открытый им в банке, включенном в перечень, определенный Правительством Российской Федерации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6.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 w:rsid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E24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721D53" w:rsidP="00A76B51">
            <w:pPr>
              <w:spacing w:after="0" w:line="240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размещает Извещение о проведении запроса предложений с документацией на электронной торговой площадке АО «Сбербанк-АСТ» по адресу: http:// www.sberbank-ast.ru</w:t>
            </w:r>
            <w:proofErr w:type="gramStart"/>
            <w:r w:rsidRPr="007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единой информационной системе в сети Интернет (далее – ЕИС) по адресу zakupki.gov.ru, на сайте ГП КС www.rscc.ru. Прием заявок: ЭТП (электронный адрес ЭТП http:// www.sberbank-ast.ru.) в соответствии с регламентом работы ЭТП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A76B51" w:rsidRPr="00A76B51" w:rsidRDefault="00721D53" w:rsidP="002507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D5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торговая площадка АО «Сбербанк-АСТ» по адресу: http:// www.sberbank-ast.ru.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4" w:type="dxa"/>
          </w:tcPr>
          <w:p w:rsidR="00A76B51" w:rsidRPr="00A76B51" w:rsidRDefault="00921446" w:rsidP="00BB10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A6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8558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A76B51" w:rsidRPr="00A76B51" w:rsidRDefault="00F8558C" w:rsidP="00D57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9214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FA6285" w:rsidRPr="00FA6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14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до</w:t>
            </w:r>
            <w:r w:rsidR="0026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  <w:r w:rsidR="0026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3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014" w:type="dxa"/>
          </w:tcPr>
          <w:p w:rsidR="00A76B51" w:rsidRPr="00A76B51" w:rsidRDefault="00921446" w:rsidP="00BB10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A6285" w:rsidRPr="00FA6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 w:rsidR="00FA6285" w:rsidRPr="00FA6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7364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A76B51" w:rsidRPr="00A76B51" w:rsidRDefault="00E24991" w:rsidP="00A3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014" w:type="dxa"/>
          </w:tcPr>
          <w:p w:rsidR="00A76B51" w:rsidRPr="00A76B51" w:rsidRDefault="00921446" w:rsidP="00FA62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декабря</w:t>
            </w:r>
            <w:r w:rsidR="00FA6285" w:rsidRPr="00FA6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7364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A76B51" w:rsidRPr="00A76B51" w:rsidRDefault="00E24991" w:rsidP="00E249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4" w:type="dxa"/>
          </w:tcPr>
          <w:p w:rsidR="00A76B51" w:rsidRPr="00A76B51" w:rsidRDefault="00921446" w:rsidP="00FA6285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декабря</w:t>
            </w:r>
            <w:r w:rsidR="00FA6285" w:rsidRPr="00FA6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7364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11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A76B51" w:rsidRPr="00A76B51" w:rsidRDefault="00921446" w:rsidP="00FA6285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декабря</w:t>
            </w:r>
            <w:r w:rsidR="00FA6285" w:rsidRPr="00FA6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7364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11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A76B51" w:rsidRPr="00A76B51" w:rsidRDefault="00921446" w:rsidP="00D57F20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декабря</w:t>
            </w:r>
            <w:r w:rsidR="00600AFA" w:rsidRPr="00600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7364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A76B51" w:rsidRPr="00A76B51" w:rsidRDefault="00921446" w:rsidP="00FA6285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декабря</w:t>
            </w:r>
            <w:r w:rsidR="00FA6285" w:rsidRPr="00FA6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7364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6014" w:type="dxa"/>
          </w:tcPr>
          <w:p w:rsidR="00A76B51" w:rsidRPr="00A76B51" w:rsidRDefault="00A76B51" w:rsidP="00D57F20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1A79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1446">
              <w:rPr>
                <w:rFonts w:ascii="Times New Roman" w:eastAsia="Calibri" w:hAnsi="Times New Roman" w:cs="Times New Roman"/>
                <w:sz w:val="24"/>
                <w:szCs w:val="24"/>
              </w:rPr>
              <w:t>3 декабря</w:t>
            </w:r>
            <w:r w:rsidR="00600AFA" w:rsidRPr="00600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A792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 </w:t>
            </w:r>
            <w:bookmarkStart w:id="0" w:name="_GoBack"/>
            <w:bookmarkEnd w:id="0"/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106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A76B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="00A76B51"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52BD5"/>
    <w:rsid w:val="0006047F"/>
    <w:rsid w:val="000B4F8C"/>
    <w:rsid w:val="001061E8"/>
    <w:rsid w:val="00123471"/>
    <w:rsid w:val="0012694B"/>
    <w:rsid w:val="00161F91"/>
    <w:rsid w:val="001A7921"/>
    <w:rsid w:val="00234905"/>
    <w:rsid w:val="002507DD"/>
    <w:rsid w:val="00256156"/>
    <w:rsid w:val="00267631"/>
    <w:rsid w:val="003172BE"/>
    <w:rsid w:val="00456D6E"/>
    <w:rsid w:val="004D100A"/>
    <w:rsid w:val="005031E1"/>
    <w:rsid w:val="00547B10"/>
    <w:rsid w:val="00554259"/>
    <w:rsid w:val="005D4E7A"/>
    <w:rsid w:val="00600AFA"/>
    <w:rsid w:val="00654737"/>
    <w:rsid w:val="00721D53"/>
    <w:rsid w:val="00780FF0"/>
    <w:rsid w:val="008353E2"/>
    <w:rsid w:val="0088729B"/>
    <w:rsid w:val="008906C6"/>
    <w:rsid w:val="00894C29"/>
    <w:rsid w:val="008A20B7"/>
    <w:rsid w:val="00921446"/>
    <w:rsid w:val="009A17D0"/>
    <w:rsid w:val="00A37F27"/>
    <w:rsid w:val="00A76B51"/>
    <w:rsid w:val="00AF04B0"/>
    <w:rsid w:val="00B7446E"/>
    <w:rsid w:val="00BB10CF"/>
    <w:rsid w:val="00BE57A5"/>
    <w:rsid w:val="00C7364B"/>
    <w:rsid w:val="00D14071"/>
    <w:rsid w:val="00D57F20"/>
    <w:rsid w:val="00DA1234"/>
    <w:rsid w:val="00DC5FDD"/>
    <w:rsid w:val="00E24991"/>
    <w:rsid w:val="00F359B3"/>
    <w:rsid w:val="00F8558C"/>
    <w:rsid w:val="00FA6285"/>
    <w:rsid w:val="00FB43AD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2F08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Колесникова Элеонора Валерьевна</cp:lastModifiedBy>
  <cp:revision>3</cp:revision>
  <cp:lastPrinted>2021-11-24T11:42:00Z</cp:lastPrinted>
  <dcterms:created xsi:type="dcterms:W3CDTF">2021-11-24T11:30:00Z</dcterms:created>
  <dcterms:modified xsi:type="dcterms:W3CDTF">2021-11-24T11:42:00Z</dcterms:modified>
</cp:coreProperties>
</file>