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5871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9A7985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9A7985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7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9A7985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9A7985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7C254B" w:rsidP="00564EB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корректировке проектной документации "Устройство вентилируемого фасада технического здания 1 площадка 1"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  <w:p w:rsidR="007F19F2" w:rsidRPr="00A64096" w:rsidRDefault="007F19F2" w:rsidP="007F19F2">
            <w:pPr>
              <w:pStyle w:val="a7"/>
              <w:ind w:left="720"/>
              <w:rPr>
                <w:sz w:val="24"/>
                <w:szCs w:val="24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9A798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587180" w:rsidRDefault="007C254B" w:rsidP="007C25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141980, Московская область, г. Дубна, ул. Александровка, д. 43, ЦКС «Дубна»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7F19F2" w:rsidRPr="006C411A" w:rsidRDefault="007C254B" w:rsidP="007C254B">
            <w:pPr>
              <w:spacing w:after="0" w:line="240" w:lineRule="auto"/>
              <w:jc w:val="both"/>
            </w:pPr>
            <w:r w:rsidRPr="007C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календарных дней с даты подписания Договора</w:t>
            </w:r>
            <w:r w:rsidR="00035579" w:rsidRPr="0003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7F19F2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B6434A" w:rsidRPr="003C05FA" w:rsidRDefault="007C254B" w:rsidP="00B6434A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 w:rsidRPr="00E851D8">
              <w:rPr>
                <w:b/>
                <w:bCs/>
                <w:szCs w:val="24"/>
              </w:rPr>
              <w:t>1 579 447,00</w:t>
            </w:r>
            <w:r w:rsidRPr="009803EA">
              <w:rPr>
                <w:color w:val="000000" w:themeColor="text1"/>
                <w:szCs w:val="28"/>
              </w:rPr>
              <w:t xml:space="preserve"> </w:t>
            </w:r>
            <w:r>
              <w:rPr>
                <w:b/>
                <w:bCs/>
                <w:szCs w:val="24"/>
              </w:rPr>
              <w:t>(один миллион пятьсот семьдесят девять тысяч четыреста сорок семь и 00/100) рублей</w:t>
            </w:r>
            <w:r w:rsidR="00B6434A">
              <w:rPr>
                <w:b/>
                <w:bCs/>
                <w:szCs w:val="24"/>
              </w:rPr>
              <w:t>.</w:t>
            </w:r>
          </w:p>
          <w:p w:rsidR="007F19F2" w:rsidRPr="00AF3320" w:rsidRDefault="007F19F2" w:rsidP="007F19F2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7F19F2" w:rsidRPr="00A76B51" w:rsidRDefault="00587180" w:rsidP="0058718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предельную цену договора.</w:t>
            </w:r>
          </w:p>
        </w:tc>
      </w:tr>
      <w:tr w:rsidR="007F19F2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7F19F2" w:rsidRPr="00A76B51" w:rsidRDefault="007F19F2" w:rsidP="007C2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C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  <w:bookmarkStart w:id="0" w:name="_GoBack"/>
            <w:bookmarkEnd w:id="0"/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9F2" w:rsidRPr="00A76B51" w:rsidTr="00A76B51">
        <w:tc>
          <w:tcPr>
            <w:tcW w:w="3496" w:type="dxa"/>
          </w:tcPr>
          <w:p w:rsidR="007F19F2" w:rsidRPr="00A76B51" w:rsidRDefault="007F19F2" w:rsidP="007F19F2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7F19F2" w:rsidRPr="006D7DDA" w:rsidRDefault="007F19F2" w:rsidP="007F19F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505">
              <w:rPr>
                <w:rFonts w:ascii="Times New Roman" w:hAnsi="Times New Roman"/>
                <w:sz w:val="24"/>
                <w:szCs w:val="24"/>
              </w:rPr>
              <w:t>Требования не установлены.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7F19F2" w:rsidRPr="00A76B51" w:rsidRDefault="007F19F2" w:rsidP="000355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="00035579">
              <w:rPr>
                <w:rFonts w:ascii="Times New Roman" w:eastAsia="Calibri" w:hAnsi="Times New Roman" w:cs="Times New Roman"/>
                <w:sz w:val="24"/>
                <w:szCs w:val="24"/>
              </w:rPr>
              <w:t>http://</w:t>
            </w:r>
            <w:proofErr w:type="spellStart"/>
            <w:r w:rsidR="000355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</w:tcPr>
          <w:p w:rsidR="007F19F2" w:rsidRPr="00A76B51" w:rsidRDefault="00B6434A" w:rsidP="000355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C254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35579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7F19F2" w:rsidRPr="00A76B51" w:rsidRDefault="00141B66" w:rsidP="007C2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7C25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C25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9F2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7F19F2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F19F2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7C254B" w:rsidP="007C25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35579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F19F2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7C254B" w:rsidP="007C25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«10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7F19F2" w:rsidRPr="00A76B51" w:rsidRDefault="007C254B" w:rsidP="00587180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«10»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7F19F2" w:rsidRPr="00A76B51" w:rsidRDefault="007C254B" w:rsidP="00587180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«10»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7F19F2" w:rsidRPr="00A76B51" w:rsidRDefault="007C254B" w:rsidP="00035579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5579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19F2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7F19F2" w:rsidRPr="00A76B51" w:rsidRDefault="007C254B" w:rsidP="00587180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«10»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7F19F2" w:rsidP="00035579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58718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C254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87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5579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476242"/>
    <w:multiLevelType w:val="hybridMultilevel"/>
    <w:tmpl w:val="0B503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247A3"/>
    <w:rsid w:val="00035579"/>
    <w:rsid w:val="00052BD5"/>
    <w:rsid w:val="0006047F"/>
    <w:rsid w:val="000655C8"/>
    <w:rsid w:val="001061E8"/>
    <w:rsid w:val="001128A6"/>
    <w:rsid w:val="00123471"/>
    <w:rsid w:val="0012694B"/>
    <w:rsid w:val="00141B66"/>
    <w:rsid w:val="00154E65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7269E"/>
    <w:rsid w:val="0048141F"/>
    <w:rsid w:val="00485E9F"/>
    <w:rsid w:val="004B4931"/>
    <w:rsid w:val="004D63C9"/>
    <w:rsid w:val="005031E1"/>
    <w:rsid w:val="00513F0F"/>
    <w:rsid w:val="00547B10"/>
    <w:rsid w:val="00564EB1"/>
    <w:rsid w:val="0056525D"/>
    <w:rsid w:val="00573C86"/>
    <w:rsid w:val="00587180"/>
    <w:rsid w:val="005D4E7A"/>
    <w:rsid w:val="005E53DD"/>
    <w:rsid w:val="00604D1E"/>
    <w:rsid w:val="00624C06"/>
    <w:rsid w:val="00636B38"/>
    <w:rsid w:val="00641070"/>
    <w:rsid w:val="00654737"/>
    <w:rsid w:val="006D7DDA"/>
    <w:rsid w:val="007354E0"/>
    <w:rsid w:val="00780FF0"/>
    <w:rsid w:val="007911A2"/>
    <w:rsid w:val="00797E4B"/>
    <w:rsid w:val="007C254B"/>
    <w:rsid w:val="007F19F2"/>
    <w:rsid w:val="00844E4B"/>
    <w:rsid w:val="008846E1"/>
    <w:rsid w:val="008F053A"/>
    <w:rsid w:val="008F7C1A"/>
    <w:rsid w:val="009404E4"/>
    <w:rsid w:val="00953D03"/>
    <w:rsid w:val="00957CB5"/>
    <w:rsid w:val="00991A06"/>
    <w:rsid w:val="009A7985"/>
    <w:rsid w:val="009E79BA"/>
    <w:rsid w:val="00A175EB"/>
    <w:rsid w:val="00A64096"/>
    <w:rsid w:val="00A76B51"/>
    <w:rsid w:val="00A97CCB"/>
    <w:rsid w:val="00AD075F"/>
    <w:rsid w:val="00AF3320"/>
    <w:rsid w:val="00B6434A"/>
    <w:rsid w:val="00B7446E"/>
    <w:rsid w:val="00BB10CF"/>
    <w:rsid w:val="00BC1E1B"/>
    <w:rsid w:val="00BE57A5"/>
    <w:rsid w:val="00C34B19"/>
    <w:rsid w:val="00C652A9"/>
    <w:rsid w:val="00CC0B46"/>
    <w:rsid w:val="00CC3A69"/>
    <w:rsid w:val="00CF4CBD"/>
    <w:rsid w:val="00D14071"/>
    <w:rsid w:val="00D53127"/>
    <w:rsid w:val="00DA1462"/>
    <w:rsid w:val="00DC4EAE"/>
    <w:rsid w:val="00DC5FDD"/>
    <w:rsid w:val="00DE1D3C"/>
    <w:rsid w:val="00E24991"/>
    <w:rsid w:val="00E6426E"/>
    <w:rsid w:val="00E673EC"/>
    <w:rsid w:val="00EE109E"/>
    <w:rsid w:val="00F359B3"/>
    <w:rsid w:val="00F42505"/>
    <w:rsid w:val="00F621F9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93B7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rsid w:val="007F1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19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2</cp:revision>
  <cp:lastPrinted>2021-12-29T12:44:00Z</cp:lastPrinted>
  <dcterms:created xsi:type="dcterms:W3CDTF">2023-02-28T07:45:00Z</dcterms:created>
  <dcterms:modified xsi:type="dcterms:W3CDTF">2023-02-28T07:45:00Z</dcterms:modified>
</cp:coreProperties>
</file>